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ns1="http://schemas.openxmlformats.org/markup-compatibility/2006" xmlns:ns2="http://schemas.microsoft.com/office/word/2010/wordml" xmlns:w="http://schemas.openxmlformats.org/wordprocessingml/2006/main" ns1:Ignorable="w14 w15 wp14">
  <w:body>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Shanghai University of Finance Economics</w:t>
      </w:r>
    </w:p>
    <w:p>
      <w:pPr>
        <w:keepNext w:val="0"/>
        <w:keepLines w:val="0"/>
        <w:pageBreakBefore w:val="0"/>
        <w:widowControl/>
        <w:suppressLineNumbers w:val="0"/>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color w:val="4472C4" w:themeColor="accent5"/>
          <w:lang w:val="en-US" w:eastAsia="zh-CN"/>
          <ns2:textFill>
            <ns2:solidFill>
              <ns2:schemeClr ns2:val="accent5"/>
            </ns2:solidFill>
          </ns2:textFill>
        </w:rPr>
      </w:pPr>
      <w:r>
        <w:rPr>
          <w:rFonts w:hint="eastAsia" w:ascii="宋体" w:hAnsi="宋体" w:eastAsia="宋体" w:cs="宋体"/>
          <w:color w:val="4472C4" w:themeColor="accent5"/>
          <w:lang w:val="en-US" w:eastAsia="zh-CN"/>
          <ns2:textFill>
            <ns2:solidFill>
              <ns2:schemeClr ns2:val="accent5"/>
            </ns2:solidFill>
          </ns2:textFill>
        </w:rPr>
        <w:t/>
      </w:r>
      <w:r>
        <w:rPr>
          <w:rFonts w:hint="default" w:ascii="宋体" w:hAnsi="宋体" w:eastAsia="宋体" w:cs="宋体"/>
          <w:color w:val="4472C4" w:themeColor="accent5"/>
          <w:lang w:val="en-US" w:eastAsia="zh-CN"/>
          <ns2:textFill>
            <ns2:solidFill>
              <ns2:schemeClr ns2:val="accent5"/>
            </ns2:solidFill>
          </ns2:textFill>
        </w:rPr>
        <w:t>（211 http://www.sufe.edu.cn/）</w:t>
      </w:r>
      <w:r>
        <w:rPr>
          <w:rFonts w:hint="eastAsia" w:ascii="宋体" w:hAnsi="宋体" w:eastAsia="宋体" w:cs="宋体"/>
          <w:color w:val="4472C4" w:themeColor="accent5"/>
          <w:lang w:val="en-US" w:eastAsia="zh-CN"/>
          <ns2:textFill>
            <ns2:solidFill>
              <ns2:schemeClr ns2:val="accent5"/>
            </ns2:solidFill>
          </ns2:textFill>
        </w:rPr>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Shanghai university of finance and economics is the result of Nanjing higher normal school founded in 1917 business, after 100 years of development, has now become a economic, management discipline is given priority to, classics, tube, law, literature, science coordinated development of multidisciplinary key university, is directly under the Ministry of Education "211 project" and "985 advantage discipline innovation platform" construction of colleges and universities, by the Ministry of Education, Ministry of Finance and the Shanghai municipal people's government. In September 2017, the university was selected as one of the national universities of "World-class University and First-class Discipline Construction".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The school is committed to pursuing excellence, With world-class disciplines as the guidance, benchmark and oriented disciplines, Has formed a multi-disciplinary discipline system with relatively distinctive financial characteristics, Covering 8 disciplines: philosophy, economics, law, literature, history, Science, engineering and management, There are 9 first-level disciplines, including Philosophy, Theoretical Economics, Applied Economics, Law, Marxist Theory, Statistics, Management Science and Engineering, Business Administration, and Public Administration, 15 master's degree authorization programs in first-level disciplines, In the 13 professional master's degree licensing programs, For the 35 undergraduate programs, And 7 postdoctoral research mobile stations; Focus on building the world-class disciplines of "Economics and Business", It has 4 national key secondary disciplines (including cultivation), Shanghai university peak disciplines 2. The school has an international and high-level faculty team. As of October 2018, there are 1,044 full-time teachers. The university has 20,659 students, including 12,933 undergraduates, 6,463 master's students and 1,263 doctoral students, including 971 overseas students.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Adhering to the open school and deeply implementing the Global SUFE strategy, it has established cooperative relations with 212 universities and institutions in 46 countries and regions. The university is one of the earliest universities to accept international students in China, and its history can be traced back to the first batch of two international students in 1957. In the process of development, relying on the professional characteristics and advantages of the university, upholding the concept of "international integration, Chinese characteristics, university of finance and Economics brand, integrated development", it has established a complete level and reasonable structure of academic education system for international students and a Chinese teaching system featuring business Chinese. Through the gradual construction and development of the School of International Cultural Exchange, the National International Business Chinese Teaching and Resource Development Base (Shanghai) and the Confucius Institute, the university has formed a virtuous cycle system and sustainable development pattern of the training of international students, discipline development, the promotion of the construction of teachers and international exchanges.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Facing the future, the university always bears in mind the school motto of "Virtue, knowledge, economic Times", takes the guidance of building a world-class discipline, and strives to build an internationally renowned high-level research university with distinctive financial and economic characteristics.</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b/>
          <w:bCs/>
          <w:sz w:val="28"/>
          <w:szCs w:val="28"/>
          <w:lang w:val="en-US" w:eastAsia="zh-CN"/>
        </w:rPr>
        <w:t>Professional information</w:t>
      </w:r>
    </w:p>
    <w:tbl>
      <w:tblPr>
        <w:tblStyle w:val="6"/>
        <w:tblW w:w="4758"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809"/>
        <w:gridCol w:w="2177"/>
        <w:gridCol w:w="1810"/>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933"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8"/>
                <w:szCs w:val="28"/>
                <w:lang w:val="en-US" w:eastAsia="zh-CN" w:bidi="ar"/>
                <ns2:textFill>
                  <ns2:solidFill>
                    <ns2:schemeClr ns2:val="accent1"/>
                  </ns2:solidFill>
                </ns2:textFill>
              </w:rPr>
              <w:t>undergraduate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lang w:val="en-US" w:eastAsia="zh-CN" w:bidi="ar"/>
              </w:rPr>
              <w:t>name of major</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economics and trade</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Investment Principles</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administration</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financial management</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8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1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81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3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eastAsia="宋体" w:cs="Arial"/>
          <w:color w:val="30303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eastAsia="宋体" w:cs="Arial"/>
          <w:color w:val="30303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both"/>
        <w:rPr>
          <w:rFonts w:hint="default" w:ascii="Arial" w:hAnsi="Arial" w:eastAsia="宋体" w:cs="Arial"/>
          <w:color w:val="303030"/>
          <w:kern w:val="0"/>
          <w:sz w:val="24"/>
          <w:szCs w:val="24"/>
          <w:lang w:val="en-US" w:eastAsia="zh-CN" w:bidi="ar"/>
        </w:rPr>
      </w:pPr>
    </w:p>
    <w:tbl>
      <w:tblPr>
        <w:tblStyle w:val="6"/>
        <w:tblpPr w:leftFromText="180" w:rightFromText="180" w:vertAnchor="text" w:horzAnchor="page" w:tblpX="1882" w:tblpY="1142"/>
        <w:tblOverlap w:val="never"/>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050"/>
        <w:gridCol w:w="2072"/>
        <w:gridCol w:w="2050"/>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36" w:hRule="atLeast"/>
        </w:trPr>
        <w:tc>
          <w:tcPr>
            <w:tcW w:w="8253" w:type="dxa"/>
            <w:gridSpan w:val="4"/>
            <w:shd w:val="clear" w:color="auto" w:fill="E7E6E6" w:themeFill="background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0" w:lineRule="exact"/>
              <w:jc w:val="center"/>
              <w:textAlignment w:val="auto"/>
              <w:rPr>
                <w:rFonts w:hint="eastAsia" w:ascii="宋体" w:hAnsi="宋体" w:eastAsia="宋体" w:cs="宋体"/>
                <w:b/>
                <w:bCs/>
                <w:color w:val="auto"/>
                <w:sz w:val="21"/>
                <w:szCs w:val="21"/>
                <w:vertAlign w:val="baseline"/>
                <w:lang w:val="en-US" w:eastAsia="zh-CN"/>
              </w:rPr>
            </w:pPr>
            <w:r>
              <w:rPr>
                <w:rFonts w:hint="default" w:ascii="Arial" w:hAnsi="Arial" w:eastAsia="宋体" w:cs="Arial"/>
                <w:color w:val="303030"/>
                <w:kern w:val="0"/>
                <w:sz w:val="24"/>
                <w:szCs w:val="24"/>
                <w:lang w:val="en-US" w:eastAsia="zh-CN" w:bidi="ar"/>
              </w:rPr>
              <w:br w:type="page"/>
            </w:r>
            <w:r>
              <w:rPr>
                <w:rFonts w:hint="eastAsia" w:ascii="宋体" w:hAnsi="宋体" w:eastAsia="宋体" w:cs="宋体"/>
                <w:b/>
                <w:bCs/>
                <w:color w:val="5B9BD5" w:themeColor="accent1"/>
                <w:sz w:val="28"/>
                <w:szCs w:val="28"/>
                <w:vertAlign w:val="baseline"/>
                <w:lang w:val="en-US" w:eastAsia="zh-CN"/>
                <ns2:textFill>
                  <ns2:solidFill>
                    <ns2:schemeClr ns2:val="accent1"/>
                  </ns2:solidFill>
                </ns2:textFill>
              </w:rPr>
              <w:t>Master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Arial" w:hAnsi="Arial" w:eastAsia="宋体" w:cs="Arial"/>
                <w:color w:val="303030"/>
                <w:kern w:val="0"/>
                <w:sz w:val="24"/>
                <w:szCs w:val="24"/>
                <w:lang w:val="en-US" w:eastAsia="zh-CN" w:bidi="ar"/>
              </w:rPr>
            </w:pPr>
            <w:r>
              <w:rPr>
                <w:rFonts w:hint="eastAsia" w:ascii="宋体" w:hAnsi="宋体" w:eastAsia="宋体" w:cs="宋体"/>
                <w:b/>
                <w:bCs/>
                <w:color w:val="auto"/>
                <w:sz w:val="21"/>
                <w:szCs w:val="21"/>
                <w:vertAlign w:val="baseline"/>
                <w:lang w:val="en-US" w:eastAsia="zh-CN"/>
              </w:rPr>
              <w:t>name of major</w:t>
            </w:r>
          </w:p>
        </w:tc>
        <w:tc>
          <w:tcPr>
            <w:tcW w:w="2072"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Arial" w:hAnsi="Arial" w:eastAsia="宋体" w:cs="Arial"/>
                <w:color w:val="303030"/>
                <w:kern w:val="0"/>
                <w:sz w:val="24"/>
                <w:szCs w:val="24"/>
                <w:lang w:val="en-US" w:eastAsia="zh-CN" w:bidi="ar"/>
              </w:rPr>
            </w:pPr>
            <w:r>
              <w:rPr>
                <w:rFonts w:hint="eastAsia" w:ascii="宋体" w:hAnsi="宋体" w:eastAsia="宋体" w:cs="宋体"/>
                <w:b/>
                <w:bCs/>
                <w:color w:val="auto"/>
                <w:sz w:val="21"/>
                <w:szCs w:val="21"/>
                <w:vertAlign w:val="baseline"/>
                <w:lang w:val="en-US" w:eastAsia="zh-CN"/>
              </w:rPr>
              <w:t>Length of schooling (year)</w:t>
            </w:r>
          </w:p>
        </w:tc>
        <w:tc>
          <w:tcPr>
            <w:tcW w:w="2050"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Arial" w:hAnsi="Arial" w:eastAsia="宋体" w:cs="Arial"/>
                <w:color w:val="303030"/>
                <w:kern w:val="0"/>
                <w:sz w:val="24"/>
                <w:szCs w:val="24"/>
                <w:lang w:val="en-US" w:eastAsia="zh-CN" w:bidi="ar"/>
              </w:rPr>
            </w:pPr>
            <w:r>
              <w:rPr>
                <w:rFonts w:hint="eastAsia" w:ascii="宋体" w:hAnsi="宋体" w:eastAsia="宋体" w:cs="宋体"/>
                <w:b/>
                <w:bCs/>
                <w:color w:val="auto"/>
                <w:sz w:val="21"/>
                <w:szCs w:val="21"/>
                <w:vertAlign w:val="baseline"/>
                <w:lang w:val="en-US" w:eastAsia="zh-CN"/>
              </w:rPr>
              <w:t>Teaching language</w:t>
            </w:r>
          </w:p>
        </w:tc>
        <w:tc>
          <w:tcPr>
            <w:tcW w:w="2081"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Arial" w:hAnsi="Arial" w:eastAsia="宋体" w:cs="Arial"/>
                <w:color w:val="303030"/>
                <w:kern w:val="0"/>
                <w:sz w:val="24"/>
                <w:szCs w:val="24"/>
                <w:lang w:val="en-US" w:eastAsia="zh-CN" w:bidi="ar"/>
              </w:rPr>
            </w:pPr>
            <w:r>
              <w:rPr>
                <w:rFonts w:hint="eastAsia" w:ascii="宋体" w:hAnsi="宋体" w:eastAsia="宋体" w:cs="宋体"/>
                <w:b/>
                <w:bCs/>
                <w:color w:val="auto"/>
                <w:sz w:val="21"/>
                <w:szCs w:val="21"/>
                <w:vertAlign w:val="baseline"/>
                <w:lang w:val="en-US" w:eastAsia="zh-CN"/>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translate</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Linguistics and applied linguistics</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statistics</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business</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Investment economics</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finance</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Real estate economics</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regional economics</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cameralistics</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144000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Management Science and Engineering</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public administration</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social security</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legum magister</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jurisprudence</w:t>
            </w:r>
          </w:p>
        </w:tc>
        <w:tc>
          <w:tcPr>
            <w:tcW w:w="207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05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8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34000</w:t>
            </w:r>
          </w:p>
        </w:tc>
      </w:tr>
    </w:tbl>
    <w:p>
      <w:pPr>
        <w:bidi w:val="0"/>
        <w:rPr>
          <w:rFonts w:hint="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b/>
          <w:bCs/>
          <w:sz w:val="28"/>
          <w:szCs w:val="28"/>
        </w:rPr>
      </w:pPr>
      <w:r>
        <w:rPr>
          <w:rFonts w:hint="default" w:ascii="Arial" w:hAnsi="Arial" w:eastAsia="宋体" w:cs="Arial"/>
          <w:b/>
          <w:bCs/>
          <w:color w:val="474747"/>
          <w:kern w:val="0"/>
          <w:sz w:val="28"/>
          <w:szCs w:val="28"/>
          <w:lang w:val="en-US" w:eastAsia="zh-CN" w:bidi="ar"/>
        </w:rPr>
        <w:t xml:space="preserve"> Chinese Government Scholarship enrollment brochure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Arial" w:hAnsi="Arial" w:cs="Arial"/>
          <w:color w:val="666666"/>
        </w:rPr>
        <w:t/>
      </w:r>
      <w:r>
        <w:rPr>
          <w:rFonts w:hint="default" w:ascii="宋体" w:hAnsi="宋体" w:eastAsia="宋体" w:cs="宋体"/>
          <w:i w:val="0"/>
          <w:iCs w:val="0"/>
          <w:caps w:val="0"/>
          <w:color w:val="auto"/>
          <w:spacing w:val="0"/>
          <w:kern w:val="0"/>
          <w:sz w:val="21"/>
          <w:szCs w:val="21"/>
          <w:shd w:val="clear" w:fill="FFFFFF"/>
          <w:lang w:val="en-US" w:eastAsia="zh-CN" w:bidi="ar"/>
        </w:rPr>
        <w:t xml:space="preserve"> In order to enhance mutual understanding and friendship between the Chinese people and the people of all countries in the world and develop exchanges and cooperation between China and other countries in various fields, the Chinese government has established scholarships to support outstanding students and scholars from all over the world to study or study in Chinese colleges and universities.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The Ministry of Education of China has entrusted the State Council (hereinafter referred to as "China Scholarship Council") to be responsible for the enrollment and management of Chinese government scholarship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Project category and application channels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Country projects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Scholarships provided according to the cooperation and exchange agreements signed between China and relevant governments and institutions or consensus can recruit undergraduate, master's, doctoral, general and advanced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The applicant submits an application to the relevant dispatching department of the host country.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Independent enrollment programs of Chinese colleges and universities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The scholarships provided to Chinese colleges and universities are used to fund the outstanding students directly selected and recommended by colleges and universities to study in China according to the specific project notification requirements.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The applicant applies to the Chinese institution undertaking the project.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Special scholarship program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Scholarships provided under cooperation agreements between China and relevant international organizations and institutions. The applicant shall apply to the relevant international organizations and institutions.</w:t>
      </w:r>
    </w:p>
    <w:tbl>
      <w:tblPr>
        <w:tblStyle w:val="6"/>
        <w:tblW w:w="4873" w:type="pct"/>
        <w:tblInd w:w="0" w:type="dxa"/>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14"/>
        <w:gridCol w:w="1056"/>
        <w:gridCol w:w="1056"/>
        <w:gridCol w:w="1174"/>
        <w:gridCol w:w="3900"/>
      </w:tblGrid>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 w:hRule="atLeast"/>
        </w:trPr>
        <w:tc>
          <w:tcPr>
            <w:tcW w:w="1114" w:type="dxa"/>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project name</w:t>
            </w:r>
          </w:p>
        </w:tc>
        <w:tc>
          <w:tcPr>
            <w:tcW w:w="1056" w:type="dxa"/>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Scope of the applicant</w:t>
            </w:r>
          </w:p>
        </w:tc>
        <w:tc>
          <w:tcPr>
            <w:tcW w:w="1056" w:type="dxa"/>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Funding category</w:t>
            </w:r>
          </w:p>
        </w:tc>
        <w:tc>
          <w:tcPr>
            <w:tcW w:w="1174" w:type="dxa"/>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Application acceptance agency</w:t>
            </w:r>
          </w:p>
        </w:tc>
        <w:tc>
          <w:tcPr>
            <w:tcW w:w="3900" w:type="dxa"/>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Contact information of the application acceptance institution</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The Great Wall Scholarship Program</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developing country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Students and scholars</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General study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Senior students</w:t>
            </w:r>
          </w:p>
        </w:tc>
        <w:tc>
          <w:tcPr>
            <w:tcW w:w="1174"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The host country United Nations</w:t>
            </w:r>
            <w:r>
              <w:rPr>
                <w:rFonts w:hint="default" w:ascii="宋体" w:hAnsi="宋体" w:eastAsia="宋体" w:cs="宋体"/>
                <w:i w:val="0"/>
                <w:iCs w:val="0"/>
                <w:caps w:val="0"/>
                <w:color w:val="auto"/>
                <w:spacing w:val="0"/>
                <w:kern w:val="0"/>
                <w:sz w:val="21"/>
                <w:szCs w:val="21"/>
                <w:shd w:val="clear" w:fill="FFFFFF"/>
                <w:lang w:val="en-US" w:eastAsia="zh-CN" w:bidi="ar"/>
              </w:rPr>
              <w:br w:type="textWrapping"/>
            </w:r>
            <w:r>
              <w:rPr>
                <w:rFonts w:hint="default" w:ascii="宋体" w:hAnsi="宋体" w:eastAsia="宋体" w:cs="宋体"/>
                <w:i w:val="0"/>
                <w:iCs w:val="0"/>
                <w:caps w:val="0"/>
                <w:color w:val="auto"/>
                <w:spacing w:val="0"/>
                <w:kern w:val="0"/>
                <w:sz w:val="21"/>
                <w:szCs w:val="21"/>
                <w:shd w:val="clear" w:fill="FFFFFF"/>
                <w:lang w:val="en-US" w:eastAsia="zh-CN" w:bidi="ar"/>
              </w:rPr>
              <w:t xml:space="preserve">Education and science nationwide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committee</w:t>
            </w:r>
          </w:p>
        </w:tc>
        <w:tc>
          <w:tcPr>
            <w:tcW w:w="3900"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https://en.unesco.org/countries</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China-the European Union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Student communication program</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EU member states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Students and scholars</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undergraduate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Master Degree Candidate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doctoral candidate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General study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Senior students</w:t>
            </w:r>
          </w:p>
        </w:tc>
        <w:tc>
          <w:tcPr>
            <w:tcW w:w="1174"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The Chinese Mission to the European Union</w:t>
            </w:r>
            <w:r>
              <w:rPr>
                <w:rFonts w:hint="default" w:ascii="宋体" w:hAnsi="宋体" w:eastAsia="宋体" w:cs="宋体"/>
                <w:i w:val="0"/>
                <w:iCs w:val="0"/>
                <w:caps w:val="0"/>
                <w:color w:val="auto"/>
                <w:spacing w:val="0"/>
                <w:kern w:val="0"/>
                <w:sz w:val="21"/>
                <w:szCs w:val="21"/>
                <w:shd w:val="clear" w:fill="FFFFFF"/>
                <w:lang w:val="en-US" w:eastAsia="zh-CN" w:bidi="ar"/>
              </w:rPr>
              <w:br w:type="textWrapping"/>
            </w:r>
            <w:r>
              <w:rPr>
                <w:rFonts w:hint="default" w:ascii="宋体" w:hAnsi="宋体" w:eastAsia="宋体" w:cs="宋体"/>
                <w:i w:val="0"/>
                <w:iCs w:val="0"/>
                <w:caps w:val="0"/>
                <w:color w:val="auto"/>
                <w:spacing w:val="0"/>
                <w:kern w:val="0"/>
                <w:sz w:val="21"/>
                <w:szCs w:val="21"/>
                <w:shd w:val="clear" w:fill="FFFFFF"/>
                <w:lang w:val="en-US" w:eastAsia="zh-CN" w:bidi="ar"/>
              </w:rPr>
              <w:t xml:space="preserve">Department of Education and Culture</w:t>
            </w:r>
          </w:p>
        </w:tc>
        <w:tc>
          <w:tcPr>
            <w:tcW w:w="3900"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http://www.chinamission.be</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China-AUN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Scholarship program</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ASEAN member states</w:t>
            </w:r>
            <w:r>
              <w:rPr>
                <w:rFonts w:hint="default" w:ascii="宋体" w:hAnsi="宋体" w:eastAsia="宋体" w:cs="宋体"/>
                <w:i w:val="0"/>
                <w:iCs w:val="0"/>
                <w:caps w:val="0"/>
                <w:color w:val="auto"/>
                <w:spacing w:val="0"/>
                <w:kern w:val="0"/>
                <w:sz w:val="21"/>
                <w:szCs w:val="21"/>
                <w:shd w:val="clear" w:fill="FFFFFF"/>
                <w:lang w:val="en-US" w:eastAsia="zh-CN" w:bidi="ar"/>
              </w:rPr>
              <w:br w:type="textWrapping"/>
            </w:r>
            <w:r>
              <w:rPr>
                <w:rFonts w:hint="default" w:ascii="宋体" w:hAnsi="宋体" w:eastAsia="宋体" w:cs="宋体"/>
                <w:i w:val="0"/>
                <w:iCs w:val="0"/>
                <w:caps w:val="0"/>
                <w:color w:val="auto"/>
                <w:spacing w:val="0"/>
                <w:kern w:val="0"/>
                <w:sz w:val="21"/>
                <w:szCs w:val="21"/>
                <w:shd w:val="clear" w:fill="FFFFFF"/>
                <w:lang w:val="en-US" w:eastAsia="zh-CN" w:bidi="ar"/>
              </w:rPr>
              <w:t xml:space="preserve">Students and scholars</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Master Degree Candidate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doctoral candidate</w:t>
            </w:r>
          </w:p>
        </w:tc>
        <w:tc>
          <w:tcPr>
            <w:tcW w:w="1174"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ASEAN institutions</w:t>
            </w:r>
            <w:r>
              <w:rPr>
                <w:rFonts w:hint="default" w:ascii="宋体" w:hAnsi="宋体" w:eastAsia="宋体" w:cs="宋体"/>
                <w:i w:val="0"/>
                <w:iCs w:val="0"/>
                <w:caps w:val="0"/>
                <w:color w:val="auto"/>
                <w:spacing w:val="0"/>
                <w:kern w:val="0"/>
                <w:sz w:val="21"/>
                <w:szCs w:val="21"/>
                <w:shd w:val="clear" w:fill="FFFFFF"/>
                <w:lang w:val="en-US" w:eastAsia="zh-CN" w:bidi="ar"/>
              </w:rPr>
              <w:br w:type="textWrapping"/>
            </w:r>
            <w:r>
              <w:rPr>
                <w:rFonts w:hint="default" w:ascii="宋体" w:hAnsi="宋体" w:eastAsia="宋体" w:cs="宋体"/>
                <w:i w:val="0"/>
                <w:iCs w:val="0"/>
                <w:caps w:val="0"/>
                <w:color w:val="auto"/>
                <w:spacing w:val="0"/>
                <w:kern w:val="0"/>
                <w:sz w:val="21"/>
                <w:szCs w:val="21"/>
                <w:shd w:val="clear" w:fill="FFFFFF"/>
                <w:lang w:val="en-US" w:eastAsia="zh-CN" w:bidi="ar"/>
              </w:rPr>
              <w:t xml:space="preserve">(AUN) Secreariat</w:t>
            </w:r>
          </w:p>
        </w:tc>
        <w:tc>
          <w:tcPr>
            <w:tcW w:w="3900"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www.aunsec.org</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14"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Pacific island countries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Forum project</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Pacific region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Island state students and scholars</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undergraduate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Master Degree Candidate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doctoral candidate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General study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Senior students</w:t>
            </w:r>
          </w:p>
        </w:tc>
        <w:tc>
          <w:tcPr>
            <w:tcW w:w="1174"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Pacific island countries</w:t>
            </w:r>
            <w:r>
              <w:rPr>
                <w:rFonts w:hint="default" w:ascii="宋体" w:hAnsi="宋体" w:eastAsia="宋体" w:cs="宋体"/>
                <w:i w:val="0"/>
                <w:iCs w:val="0"/>
                <w:caps w:val="0"/>
                <w:color w:val="auto"/>
                <w:spacing w:val="0"/>
                <w:kern w:val="0"/>
                <w:sz w:val="21"/>
                <w:szCs w:val="21"/>
                <w:shd w:val="clear" w:fill="FFFFFF"/>
                <w:lang w:val="en-US" w:eastAsia="zh-CN" w:bidi="ar"/>
              </w:rPr>
              <w:br w:type="textWrapping"/>
            </w:r>
            <w:r>
              <w:rPr>
                <w:rFonts w:hint="default" w:ascii="宋体" w:hAnsi="宋体" w:eastAsia="宋体" w:cs="宋体"/>
                <w:i w:val="0"/>
                <w:iCs w:val="0"/>
                <w:caps w:val="0"/>
                <w:color w:val="auto"/>
                <w:spacing w:val="0"/>
                <w:kern w:val="0"/>
                <w:sz w:val="21"/>
                <w:szCs w:val="21"/>
                <w:shd w:val="clear" w:fill="FFFFFF"/>
                <w:lang w:val="en-US" w:eastAsia="zh-CN" w:bidi="ar"/>
              </w:rPr>
              <w:t xml:space="preserve">Forum secretariat</w:t>
            </w:r>
          </w:p>
        </w:tc>
        <w:tc>
          <w:tcPr>
            <w:tcW w:w="3900" w:type="dxa"/>
            <w:vMerge w:val="restart"/>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www.forumsec.org</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E7E6E6"/>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14"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World Meteorological Organization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project</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Interested in the study of meteorology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Students and scholars from around the world</w:t>
            </w:r>
          </w:p>
        </w:tc>
        <w:tc>
          <w:tcPr>
            <w:tcW w:w="1056"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undergraduate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Master Degree Candidate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doctoral candidate</w:t>
            </w:r>
          </w:p>
        </w:tc>
        <w:tc>
          <w:tcPr>
            <w:tcW w:w="1174"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World Meteorological Organization</w:t>
            </w:r>
          </w:p>
        </w:tc>
        <w:tc>
          <w:tcPr>
            <w:tcW w:w="3900" w:type="dxa"/>
            <w:vMerge w:val="restart"/>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http://www.wmo.int/</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1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056"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1174"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c>
          <w:tcPr>
            <w:tcW w:w="3900" w:type="dxa"/>
            <w:vMerge w:val="continue"/>
            <w:tcBorders>
              <w:top w:val="single" w:color="auto" w:sz="2" w:space="0"/>
              <w:left w:val="single" w:color="auto" w:sz="2" w:space="0"/>
              <w:bottom w:val="single" w:color="auto" w:sz="2" w:space="0"/>
              <w:right w:val="single" w:color="auto" w:sz="2" w:space="0"/>
            </w:tcBorders>
            <w:shd w:val="clear" w:color="auto" w:fill="auto"/>
            <w:tcMar>
              <w:top w:w="105" w:type="dxa"/>
              <w:left w:w="105" w:type="dxa"/>
              <w:bottom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Credit student program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The ships provided under the exchange and cooperation agreement between Chinese and foreign universities can enroll general and advanced students for a period of no more than 12 months.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The applicant applies to Chinese universities and their foreign partner institutions.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Funding category, duration, institution and professional scope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 Funding category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Including undergraduate, postgraduate, doctoral, general students and advanced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Term of funding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Including Chinese tutoring (preparatory courses) and professional study time. The term of funding for Chinese tutoring (preparatory courses) is generally one year, and the term of funding for professional study is consistent with the basic length of study in principle.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Scope of colleges and majors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The Chinese universities that undertake the training task of Chinese government scholarships cover science, engineering, agriculture, medicine, economics, law, management, education, history, literature, philosophy, art, etc.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For more details, please visit the website at http: / / www.campuschina. Org consult the introduction of Chinese universities and majors.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Funding content and standards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 Funding content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This includes tuition fees, accommodation fees, living expenses, and comprehensive medical insurance premiums.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(Ii) Funding standards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Free tuition;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Provide free dormitory or grant accommodation subsidy;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Living expenses: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Undergraduate students: RMB 2,500 yuan / month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Master student and general education student: RMB 3,000 / month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Doctoral students and advanced students: RMB 3,500 / month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Comprehensive medical insurance premium: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RMB 800 yuan / person / year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RMB 400 / person (study period of less than 6 months)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application requirement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Non-Chinese citizens, being of physical and mental health;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Educational background and age requirements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Applicants for a bachelor's degree should have the same educational level as high school graduates, excellent academic performance, and generally under the age of 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Applicants for a master's degree should have a bachelor's degree or equivalent, have excellent academic performance, and should generally be under the age of 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Applicants for a doctor's degree should have a master's degree or equivalent, have excellent academic performance, and should generally be under the age of 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Regular advanced students should have high school education or above, and are generally under the age of 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5. Senior advanced students should have a master's degree or above or an associate professor or above, and should be under the age of 50 years.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Language requirements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Application for Chinese as the professional teaching language, bachelor's degree, general advanced students (except Chinese language major), advanced students, Chinese level at least Chinese level test (HSK) level 3; master's degree, Chinese level at least Chinese proficiency test (HSK) level 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Applicants who apply for foreign language teaching language should meet the admission requirements of the applicant institution in terms of foreign language ability.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The applicant shall simultaneously meet the admission requirements of the applicant university in its academic ability and other relevant aspects.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5. application procedure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The applicant shall consult the information of Chinese universities and related majors through the website of "Study in China" or other channels, and determine the application programs and universities and majors;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Applicants should contact Chinese colleges and universities to obtain relevant admission materials;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The applicant contacts the relevant application acceptance institution to obtain the recommendation qualification;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w:r>
      <w:r>
        <w:rPr>
          <w:rFonts w:hint="default" w:ascii="宋体" w:hAnsi="宋体" w:eastAsia="宋体" w:cs="宋体"/>
          <w:i w:val="0"/>
          <w:iCs w:val="0"/>
          <w:caps w:val="0"/>
          <w:color w:val="auto"/>
          <w:spacing w:val="0"/>
          <w:kern w:val="0"/>
          <w:sz w:val="21"/>
          <w:szCs w:val="21"/>
          <w:shd w:val="clear" w:fill="FFFFFF"/>
          <w:lang w:val="en-US" w:eastAsia="zh-CN" w:bidi="ar"/>
        </w:rPr>
        <w:fldChar w:fldCharType="begin"/>
      </w:r>
      <w:r>
        <w:rPr>
          <w:rFonts w:hint="default" w:ascii="宋体" w:hAnsi="宋体" w:eastAsia="宋体" w:cs="宋体"/>
          <w:i w:val="0"/>
          <w:iCs w:val="0"/>
          <w:caps w:val="0"/>
          <w:color w:val="auto"/>
          <w:spacing w:val="0"/>
          <w:kern w:val="0"/>
          <w:sz w:val="21"/>
          <w:szCs w:val="21"/>
          <w:shd w:val="clear" w:fill="FFFFFF"/>
          <w:lang w:val="en-US" w:eastAsia="zh-CN" w:bidi="ar"/>
        </w:rPr>
        <w:instrText xml:space="preserve"> HYPERLINK "http://www.campuschina.org/" </w:instrText>
      </w:r>
      <w:r>
        <w:rPr>
          <w:rFonts w:hint="default" w:ascii="宋体" w:hAnsi="宋体" w:eastAsia="宋体" w:cs="宋体"/>
          <w:i w:val="0"/>
          <w:iCs w:val="0"/>
          <w:caps w:val="0"/>
          <w:color w:val="auto"/>
          <w:spacing w:val="0"/>
          <w:kern w:val="0"/>
          <w:sz w:val="21"/>
          <w:szCs w:val="21"/>
          <w:shd w:val="clear" w:fill="FFFFFF"/>
          <w:lang w:val="en-US" w:eastAsia="zh-CN" w:bidi="ar"/>
        </w:rPr>
        <w:fldChar w:fldCharType="separate"/>
      </w:r>
      <w:r>
        <w:rPr>
          <w:rFonts w:hint="default" w:ascii="宋体" w:hAnsi="宋体" w:eastAsia="宋体" w:cs="宋体"/>
          <w:i w:val="0"/>
          <w:iCs w:val="0"/>
          <w:caps w:val="0"/>
          <w:color w:val="auto"/>
          <w:spacing w:val="0"/>
          <w:kern w:val="0"/>
          <w:sz w:val="21"/>
          <w:szCs w:val="21"/>
          <w:shd w:val="clear" w:fill="FFFFFF"/>
          <w:lang w:val="en-US" w:eastAsia="zh-CN" w:bidi="ar"/>
        </w:rPr>
        <w:t/>
      </w:r>
      <w:r>
        <w:rPr>
          <w:rFonts w:hint="default" w:ascii="宋体" w:hAnsi="宋体" w:eastAsia="宋体" w:cs="宋体"/>
          <w:i w:val="0"/>
          <w:iCs w:val="0"/>
          <w:caps w:val="0"/>
          <w:color w:val="auto"/>
          <w:spacing w:val="0"/>
          <w:kern w:val="0"/>
          <w:sz w:val="21"/>
          <w:szCs w:val="21"/>
          <w:shd w:val="clear" w:fill="FFFFFF"/>
          <w:lang w:val="en-US" w:eastAsia="zh-CN" w:bidi="ar"/>
        </w:rPr>
        <w:fldChar w:fldCharType="end"/>
      </w:r>
      <w:r>
        <w:rPr>
          <w:rFonts w:hint="default" w:ascii="宋体" w:hAnsi="宋体" w:eastAsia="宋体" w:cs="宋体"/>
          <w:i w:val="0"/>
          <w:iCs w:val="0"/>
          <w:caps w:val="0"/>
          <w:color w:val="auto"/>
          <w:spacing w:val="0"/>
          <w:kern w:val="0"/>
          <w:sz w:val="21"/>
          <w:szCs w:val="21"/>
          <w:shd w:val="clear" w:fill="FFFFFF"/>
          <w:lang w:val="en-US" w:eastAsia="zh-CN" w:bidi="ar"/>
        </w:rPr>
        <w:t xml:space="preserve">4. Applicants log in the "Chinese Government Scholarship Management Information System" (http: / / www.campuschina. Org), fill in the Chinese Government Scholarship Application Form online and submit the required application materials;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5. The application accepting institution shall submit the list of recommended candidates and application materials to the China Scholarship Council;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6. The China Scholarship Council shall organize relevant universities and experts to conduct the qualifications and academic examination of the recommended candidates and determine the admission candidates;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7. The China Scholarship Council shall inform the application accepting institution of the admission result, and the application accepting institution shall notify the applicant.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VI. Application materials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 Application Form for Chinese Government Scholarship (fill in online);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2. Home page of the passport. Applicants should submit a clearly scanned copy of the front page of the valid Japanese ordinary passport that is later than March 1,2023. If the validity period of the current passport does not meet the requirements, please issue a new passport in time. For applicants who cannot apply for a passport before submitting the application for objective reasons, with the permission of the accepting institution, they can submit valid certificates or supporting documents containing the information of "English name, gender, nationality, date of birth" and other information;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3. Noized highest education certificate. If the applicant is a student, he / she shall submit the expected graduation certificate or study certificate issued by his / her school;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4. Study transcripts. Text other than Chinese and English shall be accompanied by notarized translations of Chinese or English;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5. Proof of language ability. Applicants for Chinese teaching language should provide an HSK score report within the validity period and consistent with the corresponding Chinese level requirements. Applicants for foreign language teaching should provide proof of language proficiency, such as IELTS or TOEFL transcripts, as required by the school;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6. Admission materials. Applicants for master's degree, doctor's degree and applicants as ordinary and advanced students in China should provide the admission materials issued by the application institutions, including the admission notice, pre-admission notice or tutor invitation letter, etc. (the admission materials will be used as one of the priority admission documents of the Chinese government scholarship);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7. Study or research plan in China.(No less than 200 words for undergraduate students, no less than 500 words for advanced study students, and no less than 1,000 words for graduate students), written in Chinese or English;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8. A letter of recommendation. Applicants for master's or doctor's degrees and applicants for coming to China as advanced students must submit letters of recommendation from two professors or associate professors, written in Chinese or English;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9. Personal work. Applicants for art, design and other majors should provide personal work materials (such as images, paintings, etc.);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10. Applicants under the age of 18 shall submit relevant legal documents of their legal guardians in China;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11. Applicants who have been studying in China for more than 6 months should submit a copy of the foreigner Physical Examination Form (the original shall be kept by themselves, this form shall be uniformly printed by the Chinese Health and Quarantine Department and must be filled in in English). The applicant shall be inspected in strict accordance with the items required in the Foreign Physical checklist. The physical examination form for foreigners missing, without a photo of oneself or unstamped, and not signed and sealed by doctors and the hospital is invalid. The inspection results are valid for 6 months;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12. No criminal record proof. The applicant shall submit the certificate of no criminal record within the period of validity issued by the local public security organ, usually the certificate within 6 months before the date of application submission.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Vii. Contact information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Asian affairs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Tel.: 0086-10-66093923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E-mail：asia-admission@csc.edu.cn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African affairs: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Tel.: 0086-10-66093928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E-mail：africa-admission@csc.edu.cn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European affairs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Tel.: 0086-10-66093921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E-mail：europe-admission@csc.edu.cn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American and Oceania affairs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Tel.: 0086-10-66093578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E-mail：americas-admission@csc.edu.cn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oceania-admission@csc.edu.cn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Fax: 0086-10-66093972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URL:www.campuschina.org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Department: China Scholarship Council for Department in China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Address: 13th Floor, A3, No.9 Cheegzhuang Street, Xicheng District, Beijing, China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Postcode: 100044</w:t>
      </w:r>
    </w:p>
    <w:p>
      <w:pPr>
        <w:bidi w:val="0"/>
        <w:rPr>
          <w:rFonts w:hint="eastAsia"/>
          <w:b/>
          <w:bCs/>
          <w:sz w:val="28"/>
          <w:szCs w:val="28"/>
          <w:lang w:eastAsia="zh-CN"/>
        </w:rPr>
      </w:pPr>
      <w:r>
        <w:rPr>
          <w:rFonts w:hint="eastAsia"/>
          <w:b/>
          <w:bCs/>
          <w:sz w:val="28"/>
          <w:szCs w:val="28"/>
          <w:lang w:eastAsia="zh-CN"/>
        </w:rPr>
        <w:t>Accommodation environment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065"/>
        <w:gridCol w:w="832"/>
        <w:gridCol w:w="763"/>
        <w:gridCol w:w="632"/>
        <w:gridCol w:w="371"/>
        <w:gridCol w:w="632"/>
        <w:gridCol w:w="371"/>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ascii="Arial" w:hAnsi="Arial" w:cs="Arial"/>
                <w:color w:val="auto"/>
              </w:rPr>
              <w:t>room type</w:t>
            </w:r>
          </w:p>
        </w:tc>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hint="default" w:ascii="Arial" w:hAnsi="Arial" w:cs="Arial"/>
                <w:color w:val="auto"/>
              </w:rPr>
              <w:t>hotel expense</w:t>
            </w:r>
            <w:r>
              <w:rPr>
                <w:rFonts w:hint="default" w:ascii="Arial" w:hAnsi="Arial" w:cs="Arial"/>
                <w:color w:val="auto"/>
              </w:rPr>
              <w:br w:type="textWrapping"/>
            </w:r>
            <w:r>
              <w:rPr>
                <w:rFonts w:hint="default" w:ascii="Arial" w:hAnsi="Arial" w:cs="Arial"/>
                <w:color w:val="auto"/>
              </w:rPr>
              <w:t>(Yuan / year)</w:t>
            </w:r>
          </w:p>
        </w:tc>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toilet</w:t>
            </w:r>
          </w:p>
        </w:tc>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bathroom</w:t>
            </w:r>
          </w:p>
        </w:tc>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hint="default" w:ascii="Arial" w:hAnsi="Arial" w:cs="Arial"/>
                <w:color w:val="auto"/>
              </w:rPr>
              <w:t>broadband</w:t>
            </w:r>
          </w:p>
        </w:tc>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hint="default" w:ascii="Arial" w:hAnsi="Arial" w:cs="Arial"/>
                <w:color w:val="auto"/>
              </w:rPr>
              <w:t>landline telephone</w:t>
            </w:r>
          </w:p>
        </w:tc>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hint="default" w:ascii="Arial" w:hAnsi="Arial" w:cs="Arial"/>
                <w:color w:val="auto"/>
              </w:rPr>
              <w:t>air-conditioning</w:t>
            </w:r>
          </w:p>
        </w:tc>
        <w:tc>
          <w:tcPr>
            <w:tcW w:w="0" w:type="auto"/>
            <w:shd w:val="clear" w:color="auto" w:fill="auto"/>
            <w:vAlign w:val="center"/>
          </w:tcPr>
          <w:p>
            <w:pPr>
              <w:pStyle w:val="19"/>
              <w:keepNext w:val="0"/>
              <w:keepLines w:val="0"/>
              <w:widowControl/>
              <w:suppressLineNumbers w:val="0"/>
              <w:spacing w:before="0" w:beforeAutospacing="1" w:after="0" w:afterAutospacing="1"/>
              <w:ind w:left="0" w:right="0"/>
              <w:rPr>
                <w:color w:val="auto"/>
              </w:rPr>
            </w:pPr>
            <w:r>
              <w:rPr>
                <w:rFonts w:hint="default" w:ascii="Arial" w:hAnsi="Arial" w:cs="Arial"/>
                <w:color w:val="auto"/>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Four-person suite-Room A</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32,850 / year</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There is a living room, a kitchen (including a refrigerator and a microwave oven), and a washing machine in the dormitory building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Four-person suite-Room B</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36,500 / per year</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There is a living room, a kitchen (including a refrigerator and a microwave oven), and a washing machine in the dormitory building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Four-person ensuite- -Room C</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40,150 / year</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There is a living room, a kitchen (including a refrigerator and a microwave oven), and a washing machine in the dormitory building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Four-person suite-Room D</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43,800 / year</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0</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1</w:t>
            </w:r>
          </w:p>
        </w:tc>
        <w:tc>
          <w:tcPr>
            <w:tcW w:w="0" w:type="auto"/>
            <w:shd w:val="clear" w:color="auto" w:fill="auto"/>
            <w:vAlign w:val="center"/>
          </w:tcPr>
          <w:p>
            <w:pPr>
              <w:pStyle w:val="19"/>
              <w:keepNext w:val="0"/>
              <w:keepLines w:val="0"/>
              <w:widowControl/>
              <w:suppressLineNumbers w:val="0"/>
              <w:spacing w:before="0" w:beforeAutospacing="1" w:after="0" w:afterAutospacing="1" w:line="23" w:lineRule="atLeast"/>
              <w:ind w:left="0" w:right="0"/>
            </w:pPr>
            <w:r>
              <w:rPr>
                <w:rFonts w:hint="default" w:ascii="Arial" w:hAnsi="Arial" w:cs="Arial"/>
                <w:color w:val="303030"/>
              </w:rPr>
              <w:t>There is a living room, a kitchen (including a refrigerator and a microwave oven), and a washing machine in the dormitory building</w:t>
            </w:r>
          </w:p>
        </w:tc>
      </w:tr>
    </w:tbl>
    <w:p>
      <w:pPr>
        <w:keepNext w:val="0"/>
        <w:keepLines w:val="0"/>
        <w:widowControl/>
        <w:suppressLineNumbers w:val="0"/>
        <w:spacing w:before="0" w:beforeAutospacing="0" w:after="0" w:afterAutospacing="0"/>
        <w:ind w:left="0" w:right="0"/>
        <w:jc w:val="left"/>
        <w:rPr>
          <w:rFonts w:hint="eastAsia" w:ascii="Arial" w:hAnsi="Arial" w:eastAsia="宋体" w:cs="Arial"/>
          <w:color w:val="474747"/>
          <w:kern w:val="0"/>
          <w:sz w:val="24"/>
          <w:szCs w:val="24"/>
          <w:u w:val="none"/>
          <w:lang w:val="en-US" w:eastAsia="zh-CN" w:bidi="ar"/>
        </w:rPr>
      </w:pP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ZDY2ZWIxNzg4NTI0OGRmNDVmOTY4ZTEyMTY0Y2QifQ=="/>
  </w:docVars>
  <w:rsids>
    <w:rsidRoot w:val="792953D2"/>
    <w:rsid w:val="48D3133A"/>
    <w:rsid w:val="7929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iPriority w:val="0"/>
    <w:rPr>
      <w:color w:val="474747"/>
      <w:u w:val="none"/>
    </w:rPr>
  </w:style>
  <w:style w:type="character" w:styleId="10">
    <w:name w:val="Emphasis"/>
    <w:basedOn w:val="8"/>
    <w:qFormat/>
    <w:uiPriority w:val="0"/>
  </w:style>
  <w:style w:type="character" w:styleId="11">
    <w:name w:val="Hyperlink"/>
    <w:basedOn w:val="8"/>
    <w:uiPriority w:val="0"/>
    <w:rPr>
      <w:color w:val="474747"/>
      <w:u w:val="none"/>
    </w:rPr>
  </w:style>
  <w:style w:type="character" w:styleId="12">
    <w:name w:val="HTML Cite"/>
    <w:basedOn w:val="8"/>
    <w:uiPriority w:val="0"/>
  </w:style>
  <w:style w:type="character" w:customStyle="1" w:styleId="13">
    <w:name w:val="first-child"/>
    <w:basedOn w:val="8"/>
    <w:uiPriority w:val="0"/>
  </w:style>
  <w:style w:type="character" w:customStyle="1" w:styleId="14">
    <w:name w:val="first-child1"/>
    <w:basedOn w:val="8"/>
    <w:uiPriority w:val="0"/>
  </w:style>
  <w:style w:type="character" w:customStyle="1" w:styleId="15">
    <w:name w:val="first-child2"/>
    <w:basedOn w:val="8"/>
    <w:uiPriority w:val="0"/>
  </w:style>
  <w:style w:type="character" w:customStyle="1" w:styleId="16">
    <w:name w:val="first-child3"/>
    <w:basedOn w:val="8"/>
    <w:uiPriority w:val="0"/>
    <w:rPr>
      <w:b/>
      <w:bCs/>
      <w:caps/>
    </w:rPr>
  </w:style>
  <w:style w:type="character" w:customStyle="1" w:styleId="17">
    <w:name w:val="layui-layer-tabnow"/>
    <w:basedOn w:val="8"/>
    <w:uiPriority w:val="0"/>
    <w:rPr>
      <w:bdr w:val="single" w:color="CCCCCC" w:sz="6" w:space="0"/>
      <w:shd w:val="clear" w:fill="FFFFFF"/>
    </w:rPr>
  </w:style>
  <w:style w:type="character" w:customStyle="1" w:styleId="18">
    <w:name w:val="s-985"/>
    <w:basedOn w:val="8"/>
    <w:uiPriority w:val="0"/>
    <w:rPr>
      <w:color w:val="DD6D1D"/>
    </w:rPr>
  </w:style>
  <w:style w:type="paragraph" w:customStyle="1" w:styleId="19">
    <w:name w:val="center"/>
    <w:basedOn w:val="1"/>
    <w:uiPriority w:val="0"/>
    <w:pPr>
      <w:jc w:val="center"/>
    </w:pPr>
    <w:rPr>
      <w:kern w:val="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2023-04-13T01:53:00Z</dcterms:created>
  <dc:creator>风清扬</dc:creator>
  <cp:lastModifiedBy>风清扬</cp:lastModifiedBy>
  <dcterms:modified xsi:type="dcterms:W3CDTF">2023-04-13T06:09:48Z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AFA4BFF8FF1D4B24B1C9A21FACF26622_13</vt:lpwstr>
  </property>
</Properties>
</file>